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09" w:rsidRDefault="00CF6583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FF"/>
          <w:kern w:val="2"/>
          <w:sz w:val="28"/>
          <w:szCs w:val="28"/>
        </w:rPr>
      </w:pPr>
      <w:r>
        <w:rPr>
          <w:rFonts w:ascii="Times New Roman" w:hAnsi="Times New Roman"/>
          <w:b/>
          <w:caps/>
          <w:color w:val="0000FF"/>
          <w:kern w:val="2"/>
          <w:sz w:val="28"/>
          <w:szCs w:val="28"/>
        </w:rPr>
        <w:t>визитка</w:t>
      </w:r>
    </w:p>
    <w:p w:rsidR="00D72809" w:rsidRDefault="00CF6583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FF"/>
          <w:kern w:val="2"/>
          <w:sz w:val="26"/>
          <w:szCs w:val="26"/>
        </w:rPr>
      </w:pPr>
      <w:r>
        <w:rPr>
          <w:rFonts w:ascii="Times New Roman" w:hAnsi="Times New Roman"/>
          <w:b/>
          <w:color w:val="0000FF"/>
          <w:kern w:val="2"/>
          <w:sz w:val="26"/>
          <w:szCs w:val="26"/>
        </w:rPr>
        <w:t>основной профессиональной образовательной программы</w:t>
      </w:r>
    </w:p>
    <w:p w:rsidR="00D72809" w:rsidRDefault="00CF6583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FF"/>
          <w:kern w:val="2"/>
          <w:sz w:val="26"/>
          <w:szCs w:val="26"/>
        </w:rPr>
      </w:pPr>
      <w:r>
        <w:rPr>
          <w:rFonts w:ascii="Times New Roman" w:hAnsi="Times New Roman"/>
          <w:b/>
          <w:color w:val="0000FF"/>
          <w:kern w:val="2"/>
          <w:sz w:val="26"/>
          <w:szCs w:val="26"/>
        </w:rPr>
        <w:t xml:space="preserve"> высшего образования – программы магистратуры</w:t>
      </w:r>
    </w:p>
    <w:p w:rsidR="00D72809" w:rsidRDefault="00CF6583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FF"/>
          <w:kern w:val="2"/>
          <w:sz w:val="26"/>
          <w:szCs w:val="26"/>
        </w:rPr>
      </w:pPr>
      <w:r>
        <w:rPr>
          <w:rFonts w:ascii="Times New Roman" w:hAnsi="Times New Roman"/>
          <w:b/>
          <w:color w:val="0000FF"/>
          <w:kern w:val="2"/>
          <w:sz w:val="26"/>
          <w:szCs w:val="26"/>
        </w:rPr>
        <w:t>направление подготовки: 38.04.08 ФИНАНСЫ И КРЕДИТ</w:t>
      </w:r>
    </w:p>
    <w:p w:rsidR="00D72809" w:rsidRDefault="00CF6583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FF"/>
          <w:kern w:val="2"/>
          <w:sz w:val="26"/>
          <w:szCs w:val="26"/>
        </w:rPr>
      </w:pPr>
      <w:r>
        <w:rPr>
          <w:rFonts w:ascii="Times New Roman" w:hAnsi="Times New Roman"/>
          <w:b/>
          <w:color w:val="0000FF"/>
          <w:kern w:val="2"/>
          <w:sz w:val="26"/>
          <w:szCs w:val="26"/>
        </w:rPr>
        <w:t>магистерская программа (профиль): финансовые рынки и инвестиции</w:t>
      </w:r>
    </w:p>
    <w:p w:rsidR="00D72809" w:rsidRDefault="00146329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aps/>
          <w:color w:val="D14141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FF"/>
          <w:kern w:val="2"/>
          <w:sz w:val="26"/>
          <w:szCs w:val="26"/>
        </w:rPr>
        <w:t>набор 2026</w:t>
      </w:r>
    </w:p>
    <w:p w:rsidR="00D609E7" w:rsidRDefault="00D609E7" w:rsidP="00D609E7">
      <w:pPr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kern w:val="2"/>
          <w:sz w:val="24"/>
          <w:szCs w:val="24"/>
        </w:rPr>
      </w:pPr>
    </w:p>
    <w:p w:rsidR="00D609E7" w:rsidRDefault="00D609E7" w:rsidP="00D609E7">
      <w:pPr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kern w:val="2"/>
          <w:sz w:val="24"/>
          <w:szCs w:val="24"/>
        </w:rPr>
      </w:pPr>
      <w:r>
        <w:rPr>
          <w:rFonts w:ascii="Times New Roman" w:hAnsi="Times New Roman"/>
          <w:b/>
          <w:color w:val="FF0000"/>
          <w:kern w:val="2"/>
          <w:sz w:val="24"/>
          <w:szCs w:val="24"/>
        </w:rPr>
        <w:t>Образовательная программа имеет профессионально-общественную аккредитацию *</w:t>
      </w:r>
    </w:p>
    <w:p w:rsidR="00D72809" w:rsidRDefault="00CF6583">
      <w:pPr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Признание качества и уровня подготовки выпускников, освоивших программу, отвечающую требованиям профессиональных стандартов.</w:t>
      </w:r>
    </w:p>
    <w:p w:rsidR="00D72809" w:rsidRDefault="00CF6583">
      <w:pPr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Вариативный подход к выпускным квалификационным работам в форме </w:t>
      </w:r>
      <w:r w:rsidR="00126520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стартапа*</w:t>
      </w:r>
      <w:r w:rsidR="00D609E7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*</w:t>
      </w:r>
    </w:p>
    <w:p w:rsidR="00D72809" w:rsidRDefault="00CF6583">
      <w:pPr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Магистерская программа с возможностью реализации на английском языке</w:t>
      </w:r>
    </w:p>
    <w:p w:rsidR="00D72809" w:rsidRDefault="00D72809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aps/>
          <w:color w:val="FF0000"/>
          <w:sz w:val="24"/>
          <w:szCs w:val="24"/>
          <w:lang w:eastAsia="ru-RU"/>
        </w:rPr>
      </w:pPr>
    </w:p>
    <w:p w:rsidR="00D72809" w:rsidRDefault="00CF658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aps/>
          <w:color w:val="7030A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color w:val="7030A0"/>
          <w:sz w:val="24"/>
          <w:szCs w:val="24"/>
          <w:lang w:eastAsia="ru-RU"/>
        </w:rPr>
        <w:t>руководителЬ</w:t>
      </w:r>
    </w:p>
    <w:p w:rsidR="00D72809" w:rsidRDefault="00CF658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aps/>
          <w:color w:val="7030A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color w:val="7030A0"/>
          <w:sz w:val="24"/>
          <w:szCs w:val="24"/>
          <w:lang w:eastAsia="ru-RU"/>
        </w:rPr>
        <w:t>основной профессиональной образовательной программы – УРОВЕНЬ МАГИСТРАТУРЫ</w:t>
      </w:r>
    </w:p>
    <w:tbl>
      <w:tblPr>
        <w:tblW w:w="13760" w:type="dxa"/>
        <w:tblLook w:val="00A0" w:firstRow="1" w:lastRow="0" w:firstColumn="1" w:lastColumn="0" w:noHBand="0" w:noVBand="0"/>
      </w:tblPr>
      <w:tblGrid>
        <w:gridCol w:w="3338"/>
        <w:gridCol w:w="6693"/>
        <w:gridCol w:w="3729"/>
      </w:tblGrid>
      <w:tr w:rsidR="00D72809">
        <w:trPr>
          <w:trHeight w:val="2597"/>
        </w:trPr>
        <w:tc>
          <w:tcPr>
            <w:tcW w:w="3338" w:type="dxa"/>
            <w:shd w:val="clear" w:color="auto" w:fill="auto"/>
          </w:tcPr>
          <w:p w:rsidR="00D72809" w:rsidRDefault="00CF6583">
            <w:pPr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9525">
                  <wp:extent cx="1285875" cy="142875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3" w:type="dxa"/>
            <w:shd w:val="clear" w:color="auto" w:fill="auto"/>
          </w:tcPr>
          <w:p w:rsidR="00D72809" w:rsidRDefault="00D75C7A">
            <w:pPr>
              <w:spacing w:after="0" w:line="240" w:lineRule="auto"/>
            </w:pPr>
            <w:hyperlink r:id="rId8">
              <w:r w:rsidR="00CF6583">
                <w:rPr>
                  <w:rStyle w:val="ListLabel73"/>
                  <w:sz w:val="24"/>
                  <w:szCs w:val="24"/>
                </w:rPr>
                <w:t>Юзвович</w:t>
              </w:r>
            </w:hyperlink>
          </w:p>
          <w:p w:rsidR="00D72809" w:rsidRDefault="00CF6583">
            <w:pPr>
              <w:spacing w:after="0" w:line="240" w:lineRule="auto"/>
              <w:rPr>
                <w:rFonts w:ascii="Times New Roman" w:hAnsi="Times New Roman"/>
                <w:b/>
                <w:color w:val="3366FF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66FF"/>
                <w:kern w:val="2"/>
                <w:sz w:val="24"/>
                <w:szCs w:val="24"/>
              </w:rPr>
              <w:t>Лариса Ивановна</w:t>
            </w:r>
          </w:p>
          <w:p w:rsidR="00D72809" w:rsidRDefault="00CF6583">
            <w:pPr>
              <w:spacing w:after="0" w:line="240" w:lineRule="auto"/>
              <w:rPr>
                <w:rFonts w:ascii="Times New Roman" w:hAnsi="Times New Roman"/>
                <w:color w:val="45484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5484E"/>
                <w:sz w:val="24"/>
                <w:szCs w:val="24"/>
              </w:rPr>
              <w:t>Должность:</w:t>
            </w:r>
            <w:r>
              <w:rPr>
                <w:rFonts w:ascii="Times New Roman" w:hAnsi="Times New Roman"/>
                <w:color w:val="45484E"/>
                <w:sz w:val="24"/>
                <w:szCs w:val="24"/>
              </w:rPr>
              <w:t> Заведующий кафедрой финансов, денежного обращения и кредита</w:t>
            </w:r>
          </w:p>
          <w:p w:rsidR="00D72809" w:rsidRDefault="00CF6583">
            <w:pPr>
              <w:spacing w:after="0" w:line="240" w:lineRule="auto"/>
              <w:rPr>
                <w:rFonts w:ascii="Times New Roman" w:hAnsi="Times New Roman"/>
                <w:color w:val="45484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5484E"/>
                <w:sz w:val="24"/>
                <w:szCs w:val="24"/>
              </w:rPr>
              <w:t>Ученая степень:</w:t>
            </w:r>
            <w:r>
              <w:rPr>
                <w:rFonts w:ascii="Times New Roman" w:hAnsi="Times New Roman"/>
                <w:color w:val="45484E"/>
                <w:sz w:val="24"/>
                <w:szCs w:val="24"/>
              </w:rPr>
              <w:t> Доктор экономических наук</w:t>
            </w:r>
          </w:p>
          <w:p w:rsidR="00D72809" w:rsidRDefault="00CF6583">
            <w:pPr>
              <w:spacing w:after="0" w:line="240" w:lineRule="auto"/>
              <w:rPr>
                <w:rFonts w:ascii="Times New Roman" w:hAnsi="Times New Roman"/>
                <w:color w:val="45484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5484E"/>
                <w:sz w:val="24"/>
                <w:szCs w:val="24"/>
              </w:rPr>
              <w:t>Ученое звание: </w:t>
            </w:r>
            <w:r>
              <w:rPr>
                <w:rFonts w:ascii="Times New Roman" w:hAnsi="Times New Roman"/>
                <w:color w:val="45484E"/>
                <w:sz w:val="24"/>
                <w:szCs w:val="24"/>
              </w:rPr>
              <w:t>Профессор</w:t>
            </w:r>
          </w:p>
          <w:p w:rsidR="00D72809" w:rsidRDefault="00CF6583">
            <w:pPr>
              <w:spacing w:after="0" w:line="240" w:lineRule="auto"/>
              <w:outlineLvl w:val="2"/>
            </w:pPr>
            <w:r>
              <w:rPr>
                <w:rFonts w:ascii="Times New Roman" w:hAnsi="Times New Roman"/>
                <w:b/>
                <w:bCs/>
                <w:color w:val="45484E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bCs/>
                <w:color w:val="45484E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bCs/>
                <w:color w:val="45484E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45484E"/>
                <w:sz w:val="24"/>
                <w:szCs w:val="24"/>
              </w:rPr>
              <w:t> </w:t>
            </w:r>
            <w:hyperlink r:id="rId9">
              <w:r>
                <w:rPr>
                  <w:rStyle w:val="ListLabel74"/>
                  <w:sz w:val="24"/>
                  <w:szCs w:val="24"/>
                </w:rPr>
                <w:t>yuzvovich</w:t>
              </w:r>
            </w:hyperlink>
            <w:hyperlink r:id="rId10">
              <w:r>
                <w:rPr>
                  <w:rStyle w:val="ListLabel75"/>
                  <w:sz w:val="24"/>
                  <w:szCs w:val="24"/>
                </w:rPr>
                <w:t>@</w:t>
              </w:r>
            </w:hyperlink>
            <w:hyperlink r:id="rId11">
              <w:r>
                <w:rPr>
                  <w:rStyle w:val="ListLabel74"/>
                  <w:sz w:val="24"/>
                  <w:szCs w:val="24"/>
                </w:rPr>
                <w:t>bk</w:t>
              </w:r>
            </w:hyperlink>
            <w:hyperlink r:id="rId12">
              <w:r>
                <w:rPr>
                  <w:rStyle w:val="ListLabel75"/>
                  <w:sz w:val="24"/>
                  <w:szCs w:val="24"/>
                </w:rPr>
                <w:t>.</w:t>
              </w:r>
            </w:hyperlink>
            <w:hyperlink r:id="rId13">
              <w:r>
                <w:rPr>
                  <w:rStyle w:val="ListLabel74"/>
                  <w:sz w:val="24"/>
                  <w:szCs w:val="24"/>
                </w:rPr>
                <w:t>ru</w:t>
              </w:r>
            </w:hyperlink>
          </w:p>
        </w:tc>
        <w:tc>
          <w:tcPr>
            <w:tcW w:w="3729" w:type="dxa"/>
            <w:shd w:val="clear" w:color="auto" w:fill="auto"/>
          </w:tcPr>
          <w:p w:rsidR="00D72809" w:rsidRDefault="00D72809">
            <w:pPr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:rsidR="00D72809" w:rsidRDefault="00CF6583">
      <w:pPr>
        <w:shd w:val="clear" w:color="000000" w:fill="FFFFFF"/>
        <w:tabs>
          <w:tab w:val="left" w:pos="284"/>
        </w:tabs>
        <w:spacing w:after="0" w:line="240" w:lineRule="auto"/>
        <w:outlineLvl w:val="2"/>
        <w:rPr>
          <w:rFonts w:ascii="Times New Roman" w:hAnsi="Times New Roman"/>
          <w:b/>
          <w:caps/>
          <w:color w:val="FF0000"/>
          <w:sz w:val="20"/>
          <w:szCs w:val="20"/>
        </w:rPr>
      </w:pPr>
      <w:r>
        <w:rPr>
          <w:rFonts w:ascii="Times New Roman" w:hAnsi="Times New Roman"/>
          <w:b/>
          <w:caps/>
          <w:color w:val="FF0000"/>
          <w:sz w:val="20"/>
          <w:szCs w:val="20"/>
        </w:rPr>
        <w:t>ХАРАКТЕРИСТИКА магистерской программы</w:t>
      </w:r>
    </w:p>
    <w:p w:rsidR="00D72809" w:rsidRDefault="00CF6583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b/>
          <w:sz w:val="20"/>
          <w:szCs w:val="20"/>
          <w:shd w:val="clear" w:color="auto" w:fill="FFFFFF"/>
        </w:rPr>
        <w:t>Цель программы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- подготовка магистров в сфере финансовых рынков и инвестиционного бизнеса, профессиональные компетенции которых направлены на:</w:t>
      </w:r>
    </w:p>
    <w:p w:rsidR="00D72809" w:rsidRDefault="00CF658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- </w:t>
      </w:r>
      <w:r>
        <w:rPr>
          <w:rFonts w:ascii="Times New Roman" w:hAnsi="Times New Roman"/>
          <w:sz w:val="20"/>
          <w:szCs w:val="20"/>
        </w:rPr>
        <w:t>Предоставление услуг, связанных с выпуском и обращением ценных бумаг, совершением сделок с</w:t>
      </w:r>
    </w:p>
    <w:p w:rsidR="00D72809" w:rsidRDefault="00CF6583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производными финансовыми инструментами</w:t>
      </w:r>
    </w:p>
    <w:p w:rsidR="00D72809" w:rsidRDefault="00CF65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Обеспечение инвестиционной эффективности и оптимальных условий совершения финансовых сделок клиента с поставщиком финансовых услуг.</w:t>
      </w:r>
    </w:p>
    <w:p w:rsidR="00D72809" w:rsidRDefault="00CF6583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 xml:space="preserve">ОСОБЕННОСТИ РЕАЛИЗАЦИИ ПРОГРАММЫ </w:t>
      </w:r>
    </w:p>
    <w:p w:rsidR="00D72809" w:rsidRDefault="00CF658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междисциплинарное взаимодействие магистров и практико-ориентированных преподавателей, представителей бизнеса, органов государственной и муниципальной власти, корпоративного и банковского секторов экономики; </w:t>
      </w:r>
    </w:p>
    <w:p w:rsidR="00D72809" w:rsidRDefault="00CF658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возможность прохождения практики в структурах финансового и корпоративного регионального рынка;</w:t>
      </w:r>
    </w:p>
    <w:p w:rsidR="00D72809" w:rsidRDefault="00CF658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реализация академической мобильности в части формирования индивидуального учебного плана.</w:t>
      </w:r>
    </w:p>
    <w:p w:rsidR="00D72809" w:rsidRDefault="00CF658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Магистерская программа ориентирована не только на тех, кто имеет профильный диплом бакалавра или специалиста, но и для контингента с непрофильным диплом (юридический, технический, гуманитарный и др.). Магистерская программа реализуется в очной форме, срок обучения 2 года, в очно-заочной и заочной формах 2,5 года, в заочной форме по ускоренным срокам (через программы ДПО) 1,5 года.</w:t>
      </w:r>
    </w:p>
    <w:p w:rsidR="00D72809" w:rsidRDefault="00CF6583">
      <w:pPr>
        <w:shd w:val="clear" w:color="000000" w:fill="FFFFFF"/>
        <w:tabs>
          <w:tab w:val="left" w:pos="284"/>
        </w:tabs>
        <w:spacing w:after="0" w:line="240" w:lineRule="auto"/>
        <w:outlineLvl w:val="2"/>
        <w:rPr>
          <w:rFonts w:ascii="Times New Roman" w:hAnsi="Times New Roman"/>
          <w:b/>
          <w:caps/>
          <w:color w:val="FF0000"/>
          <w:sz w:val="20"/>
          <w:szCs w:val="20"/>
        </w:rPr>
      </w:pPr>
      <w:r>
        <w:rPr>
          <w:rFonts w:ascii="Times New Roman" w:hAnsi="Times New Roman"/>
          <w:b/>
          <w:caps/>
          <w:color w:val="FF0000"/>
          <w:sz w:val="20"/>
          <w:szCs w:val="20"/>
        </w:rPr>
        <w:t>ПРОГРАММА НАПРАВЛЕНА НА:</w:t>
      </w:r>
    </w:p>
    <w:p w:rsidR="00D72809" w:rsidRDefault="00CF658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получение глубоких теоретических знаний и обеспечения практического контента в области финансовых рынков и инвестиций; формирование образа мышления, позволяющего творчески подходить к решению сложных задач и самостоятельному поиску новых решений в сфере финансово-кредитных отношений. Основные дисциплины: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D72809">
        <w:trPr>
          <w:trHeight w:val="2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Финансовое консультирование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Национальная страховая система</w:t>
            </w:r>
          </w:p>
        </w:tc>
      </w:tr>
      <w:tr w:rsidR="00D72809">
        <w:trPr>
          <w:trHeight w:val="2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Налогообложение на финансовых рынков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Финансовые и денежно-кредитные методы регулирования экономики</w:t>
            </w:r>
          </w:p>
        </w:tc>
      </w:tr>
      <w:tr w:rsidR="00D72809">
        <w:trPr>
          <w:trHeight w:val="2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Персональные финансы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Международный валютный рынок</w:t>
            </w:r>
          </w:p>
        </w:tc>
      </w:tr>
      <w:tr w:rsidR="00D72809">
        <w:trPr>
          <w:trHeight w:val="5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Современная денежно-кредитная система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Формирование инвестиционного портфеля</w:t>
            </w:r>
          </w:p>
        </w:tc>
      </w:tr>
      <w:tr w:rsidR="00D72809">
        <w:trPr>
          <w:trHeight w:val="5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Финансовые рынки и финансово-кредитные институты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Финансовое моделирование</w:t>
            </w:r>
          </w:p>
        </w:tc>
      </w:tr>
      <w:tr w:rsidR="00D72809">
        <w:trPr>
          <w:trHeight w:val="2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Финансовая политика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Финансовые риски</w:t>
            </w:r>
          </w:p>
        </w:tc>
      </w:tr>
    </w:tbl>
    <w:p w:rsidR="00D72809" w:rsidRDefault="00CF6583">
      <w:pPr>
        <w:shd w:val="clear" w:color="000000" w:fill="FFFFFF"/>
        <w:spacing w:after="0" w:line="240" w:lineRule="auto"/>
        <w:jc w:val="both"/>
        <w:outlineLvl w:val="2"/>
        <w:rPr>
          <w:rFonts w:ascii="Times New Roman" w:hAnsi="Times New Roman"/>
          <w:b/>
          <w:caps/>
          <w:color w:val="FF0000"/>
          <w:sz w:val="20"/>
          <w:szCs w:val="20"/>
        </w:rPr>
      </w:pPr>
      <w:r>
        <w:rPr>
          <w:rFonts w:ascii="Times New Roman" w:hAnsi="Times New Roman"/>
          <w:b/>
          <w:caps/>
          <w:color w:val="FF0000"/>
          <w:sz w:val="20"/>
          <w:szCs w:val="20"/>
        </w:rPr>
        <w:t>конкурентные Приемущества программы:</w:t>
      </w:r>
    </w:p>
    <w:p w:rsidR="00D72809" w:rsidRDefault="00CF65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высококвалифицированный профессорско-преподавательский состав (только с ученой степенью и званием), обладающий глубокими теоретическими знаниями и широкой практикой их применения;</w:t>
      </w:r>
    </w:p>
    <w:p w:rsidR="00D72809" w:rsidRDefault="00CF65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высококвалифицированные преподаватели кафедры компетентно решают задачи образовательного процесса ВУЗа в области методического обеспечения, научных исследований;</w:t>
      </w:r>
    </w:p>
    <w:p w:rsidR="00D72809" w:rsidRDefault="00CF65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приобретение профессиональных знаний и навыков и их практическое применение в ходе обучения;</w:t>
      </w:r>
    </w:p>
    <w:p w:rsidR="00D72809" w:rsidRDefault="00CF65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использование современных образовательных технологий, в том числе цифровых;</w:t>
      </w:r>
    </w:p>
    <w:p w:rsidR="00D72809" w:rsidRDefault="00CF6583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- </w:t>
      </w:r>
      <w:r>
        <w:rPr>
          <w:rFonts w:ascii="Times New Roman" w:hAnsi="Times New Roman"/>
          <w:sz w:val="20"/>
          <w:szCs w:val="20"/>
        </w:rPr>
        <w:t>интерактивные формы занятий в соответствии с ФГОС ВО являются для преподавателей кафедры финансов, денежного обращения и кредита приоритетной задачей учебного процесса, так как переход высшего образования на профессиональные стандарты и соответственно подготовка специалистов в области финансово-кредитных отношений для государственного, банковского, финансового, корпоративного секторов экономики неразрывно связана с профессиональным подходом и востребованностью рынка труда наших выпускников;</w:t>
      </w:r>
    </w:p>
    <w:p w:rsidR="00D72809" w:rsidRDefault="00CF6583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- возможность целевого обучения и вариативного подхода к выпускным квалификационным работам в форме стартапов.</w:t>
      </w:r>
    </w:p>
    <w:p w:rsidR="00D72809" w:rsidRDefault="00CF6583">
      <w:pPr>
        <w:shd w:val="clear" w:color="000000" w:fill="FFFFFF"/>
        <w:tabs>
          <w:tab w:val="left" w:pos="284"/>
        </w:tabs>
        <w:spacing w:after="0" w:line="240" w:lineRule="auto"/>
        <w:outlineLvl w:val="2"/>
        <w:rPr>
          <w:rFonts w:ascii="Times New Roman" w:hAnsi="Times New Roman"/>
          <w:b/>
          <w:caps/>
          <w:color w:val="FF0000"/>
          <w:sz w:val="20"/>
          <w:szCs w:val="20"/>
        </w:rPr>
      </w:pPr>
      <w:r>
        <w:rPr>
          <w:rFonts w:ascii="Times New Roman" w:hAnsi="Times New Roman"/>
          <w:b/>
          <w:caps/>
          <w:color w:val="FF0000"/>
          <w:sz w:val="20"/>
          <w:szCs w:val="20"/>
        </w:rPr>
        <w:t>КОМПЕТЕНЦИИ выпускника:</w:t>
      </w:r>
    </w:p>
    <w:p w:rsidR="00D72809" w:rsidRDefault="00CF658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ходе обучения на данной программе студенты приобретают совокупность компетенций в соответствии с профессиональными стандартами: </w:t>
      </w:r>
    </w:p>
    <w:p w:rsidR="00D72809" w:rsidRDefault="00CF65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08.004 Специалист рынка ценных бумаг </w:t>
      </w:r>
    </w:p>
    <w:p w:rsidR="00D72809" w:rsidRDefault="00CF65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08.008 Специалист по финансовому консультированию </w:t>
      </w:r>
    </w:p>
    <w:p w:rsidR="00D72809" w:rsidRDefault="00CF6583">
      <w:pPr>
        <w:shd w:val="clear" w:color="000000" w:fill="FFFFFF"/>
        <w:tabs>
          <w:tab w:val="left" w:pos="284"/>
        </w:tabs>
        <w:spacing w:after="0" w:line="240" w:lineRule="auto"/>
        <w:outlineLvl w:val="2"/>
        <w:rPr>
          <w:rFonts w:ascii="Times New Roman" w:hAnsi="Times New Roman"/>
          <w:b/>
          <w:caps/>
          <w:color w:val="FF0000"/>
          <w:sz w:val="20"/>
          <w:szCs w:val="20"/>
        </w:rPr>
      </w:pPr>
      <w:r>
        <w:rPr>
          <w:rFonts w:ascii="Times New Roman" w:hAnsi="Times New Roman"/>
          <w:b/>
          <w:caps/>
          <w:color w:val="FF0000"/>
          <w:sz w:val="20"/>
          <w:szCs w:val="20"/>
        </w:rPr>
        <w:t>ОБЛАСТЬ ПРОФЕССИОНАЛЬНОЙ ДЕЯТЕЛЬНОСТИ:</w:t>
      </w:r>
    </w:p>
    <w:p w:rsidR="00D72809" w:rsidRDefault="00CF6583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Область профессиональной деятельности</w:t>
      </w:r>
      <w:r>
        <w:rPr>
          <w:rFonts w:ascii="Times New Roman" w:hAnsi="Times New Roman"/>
          <w:sz w:val="20"/>
          <w:szCs w:val="20"/>
        </w:rPr>
        <w:t xml:space="preserve"> магистра включает: </w:t>
      </w:r>
    </w:p>
    <w:p w:rsidR="00D72809" w:rsidRDefault="00CF65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управление финансами и денежными потоками, а также финансовый контроль в коммерческих организациях, в том числе финансово-кредитных, некоммерческих организациях, органах государственной власти и местного самоуправления, неправительственных и общественных организациях;</w:t>
      </w:r>
    </w:p>
    <w:p w:rsidR="00D72809" w:rsidRDefault="00CF65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исследование финансовых, денежных, кредитных рынков в академических и ведомственных научно-исследовательских учреждениях, негосударственных исследовательских фондах и организациях, консалтинговых и инвестиционных компаниях;</w:t>
      </w:r>
    </w:p>
    <w:p w:rsidR="00D72809" w:rsidRDefault="00CF65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педагогическая деятельность в образовательных организациях высшего образования, дополнительного профессионального образования, профессиональных образовательных организациях.</w:t>
      </w:r>
    </w:p>
    <w:p w:rsidR="00D72809" w:rsidRDefault="00CF6583">
      <w:pPr>
        <w:shd w:val="clear" w:color="000000" w:fill="FFFFFF"/>
        <w:tabs>
          <w:tab w:val="left" w:pos="284"/>
        </w:tabs>
        <w:spacing w:after="0" w:line="240" w:lineRule="auto"/>
        <w:outlineLvl w:val="2"/>
        <w:rPr>
          <w:rFonts w:ascii="Times New Roman" w:hAnsi="Times New Roman"/>
          <w:b/>
          <w:caps/>
          <w:color w:val="FF0000"/>
          <w:sz w:val="20"/>
          <w:szCs w:val="20"/>
        </w:rPr>
      </w:pPr>
      <w:r>
        <w:rPr>
          <w:rFonts w:ascii="Times New Roman" w:hAnsi="Times New Roman"/>
          <w:b/>
          <w:caps/>
          <w:color w:val="FF0000"/>
          <w:sz w:val="20"/>
          <w:szCs w:val="20"/>
        </w:rPr>
        <w:t>Стратегические партнеры:</w:t>
      </w:r>
    </w:p>
    <w:tbl>
      <w:tblPr>
        <w:tblStyle w:val="af0"/>
        <w:tblW w:w="10055" w:type="dxa"/>
        <w:tblLook w:val="04A0" w:firstRow="1" w:lastRow="0" w:firstColumn="1" w:lastColumn="0" w:noHBand="0" w:noVBand="1"/>
      </w:tblPr>
      <w:tblGrid>
        <w:gridCol w:w="5027"/>
        <w:gridCol w:w="5028"/>
      </w:tblGrid>
      <w:tr w:rsidR="00D72809"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hAnsi="Times New Roman"/>
                <w:b/>
                <w:caps/>
                <w:color w:val="FF0000"/>
              </w:rPr>
            </w:pPr>
            <w:r>
              <w:rPr>
                <w:rFonts w:ascii="Times New Roman" w:hAnsi="Times New Roman"/>
                <w:color w:val="333333"/>
              </w:rPr>
              <w:t>Законодательное Собрание Свердловской области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FF0000"/>
              </w:rPr>
            </w:pPr>
            <w:r>
              <w:rPr>
                <w:rFonts w:ascii="Times New Roman" w:hAnsi="Times New Roman"/>
                <w:color w:val="333333"/>
              </w:rPr>
              <w:t>Министерство финансов Свердловской области</w:t>
            </w:r>
          </w:p>
        </w:tc>
      </w:tr>
      <w:tr w:rsidR="00D72809"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FF0000"/>
              </w:rPr>
            </w:pPr>
            <w:r>
              <w:rPr>
                <w:rFonts w:ascii="Times New Roman" w:hAnsi="Times New Roman"/>
                <w:color w:val="333333"/>
              </w:rPr>
              <w:t>Уральское главное управление Банка России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Филиал ВТБ «Уральский» в г. Екатеринбурге</w:t>
            </w:r>
          </w:p>
        </w:tc>
      </w:tr>
      <w:tr w:rsidR="00D72809"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FF0000"/>
              </w:rPr>
            </w:pPr>
            <w:r>
              <w:rPr>
                <w:rFonts w:ascii="Times New Roman" w:hAnsi="Times New Roman"/>
                <w:color w:val="333333"/>
              </w:rPr>
              <w:t>Уральский филиал НАУФОР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FF0000"/>
              </w:rPr>
            </w:pPr>
            <w:r>
              <w:rPr>
                <w:rFonts w:ascii="Times New Roman" w:hAnsi="Times New Roman"/>
                <w:color w:val="333333"/>
              </w:rPr>
              <w:t>ПАО Сбербанк России</w:t>
            </w:r>
            <w:r w:rsidR="00126520">
              <w:rPr>
                <w:rFonts w:ascii="Times New Roman" w:hAnsi="Times New Roman"/>
                <w:color w:val="333333"/>
              </w:rPr>
              <w:t xml:space="preserve">, </w:t>
            </w:r>
            <w:proofErr w:type="spellStart"/>
            <w:r w:rsidR="00126520">
              <w:rPr>
                <w:rFonts w:ascii="Times New Roman" w:hAnsi="Times New Roman"/>
                <w:color w:val="333333"/>
              </w:rPr>
              <w:t>УБРиР</w:t>
            </w:r>
            <w:proofErr w:type="spellEnd"/>
            <w:r w:rsidR="00D609E7">
              <w:rPr>
                <w:rFonts w:ascii="Times New Roman" w:hAnsi="Times New Roman"/>
                <w:color w:val="333333"/>
              </w:rPr>
              <w:t xml:space="preserve">, </w:t>
            </w:r>
            <w:proofErr w:type="spellStart"/>
            <w:r w:rsidR="00D609E7">
              <w:rPr>
                <w:rFonts w:ascii="Times New Roman" w:hAnsi="Times New Roman"/>
                <w:color w:val="333333"/>
              </w:rPr>
              <w:t>Альфа-банк</w:t>
            </w:r>
            <w:proofErr w:type="spellEnd"/>
          </w:p>
        </w:tc>
      </w:tr>
      <w:tr w:rsidR="00D72809"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FF0000"/>
              </w:rPr>
            </w:pPr>
            <w:r>
              <w:rPr>
                <w:rFonts w:ascii="Times New Roman" w:hAnsi="Times New Roman"/>
                <w:color w:val="333333"/>
              </w:rPr>
              <w:t xml:space="preserve">Администрация Губернатора Свердловской области 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146329" w:rsidP="0014632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Ингосстрах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333333"/>
              </w:rPr>
              <w:t xml:space="preserve"> </w:t>
            </w:r>
            <w:r w:rsidR="00CF6583">
              <w:rPr>
                <w:rFonts w:ascii="Times New Roman" w:hAnsi="Times New Roman"/>
                <w:color w:val="333333"/>
              </w:rPr>
              <w:t>Росгосстрах,</w:t>
            </w:r>
            <w:r>
              <w:rPr>
                <w:rFonts w:ascii="Times New Roman" w:hAnsi="Times New Roman"/>
                <w:color w:val="000000"/>
              </w:rPr>
              <w:t xml:space="preserve"> СОГАЗ, АльфаСтрахование</w:t>
            </w:r>
            <w:bookmarkStart w:id="0" w:name="_GoBack"/>
            <w:bookmarkEnd w:id="0"/>
            <w:r w:rsidR="00126520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D72809"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CF65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FF0000"/>
              </w:rPr>
            </w:pPr>
            <w:r>
              <w:rPr>
                <w:rFonts w:ascii="Times New Roman" w:hAnsi="Times New Roman"/>
                <w:color w:val="333333"/>
              </w:rPr>
              <w:t>Департамент финансов г. Екатеринбурга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809" w:rsidRDefault="00D7280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FF0000"/>
              </w:rPr>
            </w:pPr>
          </w:p>
        </w:tc>
      </w:tr>
    </w:tbl>
    <w:p w:rsidR="00D72809" w:rsidRDefault="00CF6583">
      <w:pPr>
        <w:shd w:val="clear" w:color="000000" w:fill="FFFFFF"/>
        <w:tabs>
          <w:tab w:val="left" w:pos="284"/>
        </w:tabs>
        <w:spacing w:after="0" w:line="240" w:lineRule="auto"/>
        <w:outlineLvl w:val="2"/>
        <w:rPr>
          <w:rFonts w:ascii="Times New Roman" w:hAnsi="Times New Roman"/>
          <w:b/>
          <w:caps/>
          <w:color w:val="FF0000"/>
          <w:sz w:val="20"/>
          <w:szCs w:val="20"/>
        </w:rPr>
      </w:pPr>
      <w:r>
        <w:rPr>
          <w:rFonts w:ascii="Times New Roman" w:hAnsi="Times New Roman"/>
          <w:b/>
          <w:caps/>
          <w:color w:val="FF0000"/>
          <w:sz w:val="20"/>
          <w:szCs w:val="20"/>
        </w:rPr>
        <w:t>ДОПОЛНИТЕЛЬНЫЕ ВОЗМОЖНОСТИ:</w:t>
      </w:r>
    </w:p>
    <w:p w:rsidR="00D72809" w:rsidRDefault="00CF6583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Участие в научно-исследовательской работе и в конференция, мастер-классах, круглых столах, деловых встречах, проводимых совместно с представителями финансового сектора экономики и органов государственной и муниципальной власти. Возможность получения дополнительных компетенций через факультативные занятия по финансовым аспектам банкротства кредитных организаций, юридических и физических лиц.</w:t>
      </w:r>
    </w:p>
    <w:p w:rsidR="00D72809" w:rsidRDefault="00D72809">
      <w:pPr>
        <w:spacing w:after="0" w:line="240" w:lineRule="auto"/>
        <w:outlineLvl w:val="2"/>
        <w:rPr>
          <w:rFonts w:ascii="Times New Roman" w:hAnsi="Times New Roman"/>
          <w:b/>
          <w:bCs/>
          <w:caps/>
          <w:color w:val="D14141"/>
          <w:sz w:val="24"/>
          <w:szCs w:val="24"/>
          <w:lang w:eastAsia="ru-RU"/>
        </w:rPr>
      </w:pPr>
    </w:p>
    <w:p w:rsidR="00D72809" w:rsidRPr="00126520" w:rsidRDefault="00D72809">
      <w:pPr>
        <w:spacing w:after="0" w:line="240" w:lineRule="auto"/>
        <w:outlineLvl w:val="2"/>
        <w:rPr>
          <w:rFonts w:ascii="Times New Roman" w:hAnsi="Times New Roman"/>
          <w:b/>
          <w:bCs/>
          <w:caps/>
          <w:color w:val="D14141"/>
          <w:sz w:val="20"/>
          <w:szCs w:val="20"/>
          <w:lang w:eastAsia="ru-RU"/>
        </w:rPr>
      </w:pPr>
    </w:p>
    <w:p w:rsidR="00D609E7" w:rsidRPr="00146329" w:rsidRDefault="00D609E7" w:rsidP="00D609E7">
      <w:pPr>
        <w:pStyle w:val="Default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146329">
        <w:rPr>
          <w:rFonts w:ascii="Times New Roman" w:hAnsi="Times New Roman" w:cs="Times New Roman"/>
          <w:i/>
          <w:color w:val="FF0000"/>
          <w:sz w:val="20"/>
          <w:szCs w:val="20"/>
        </w:rPr>
        <w:t>* Вместе с дипломом о высшем образовании каждый выпускник получает свидетельство профессионально-общественной аккредитации образовательной программы ФИНАНСЫ И КРЕДИТ с указанием профессиональных стандартов.</w:t>
      </w:r>
    </w:p>
    <w:p w:rsidR="00D609E7" w:rsidRPr="00146329" w:rsidRDefault="00D609E7" w:rsidP="00D609E7">
      <w:pPr>
        <w:pStyle w:val="Default"/>
        <w:jc w:val="both"/>
        <w:rPr>
          <w:rFonts w:ascii="Times New Roman" w:hAnsi="Times New Roman"/>
          <w:bCs/>
          <w:i/>
          <w:caps/>
          <w:color w:val="FF0000"/>
          <w:sz w:val="20"/>
          <w:szCs w:val="20"/>
          <w:lang w:eastAsia="ru-RU"/>
        </w:rPr>
      </w:pPr>
      <w:r w:rsidRPr="00146329">
        <w:rPr>
          <w:rFonts w:ascii="Times New Roman" w:hAnsi="Times New Roman"/>
          <w:bCs/>
          <w:i/>
          <w:caps/>
          <w:color w:val="FF0000"/>
          <w:sz w:val="20"/>
          <w:szCs w:val="20"/>
          <w:lang w:eastAsia="ru-RU"/>
        </w:rPr>
        <w:t xml:space="preserve">Профессионально-общественная аккредитация – </w:t>
      </w:r>
      <w:r w:rsidRPr="00146329">
        <w:rPr>
          <w:rFonts w:ascii="Times New Roman" w:hAnsi="Times New Roman"/>
          <w:bCs/>
          <w:i/>
          <w:color w:val="FF0000"/>
          <w:sz w:val="20"/>
          <w:szCs w:val="20"/>
          <w:shd w:val="clear" w:color="auto" w:fill="FFFFFF"/>
        </w:rPr>
        <w:t>это</w:t>
      </w:r>
      <w:r w:rsidRPr="00146329">
        <w:rPr>
          <w:rFonts w:ascii="Times New Roman" w:hAnsi="Times New Roman"/>
          <w:i/>
          <w:color w:val="FF0000"/>
          <w:sz w:val="20"/>
          <w:szCs w:val="20"/>
          <w:shd w:val="clear" w:color="auto" w:fill="FFFFFF"/>
        </w:rPr>
        <w:t> процедура оценки и признания качества образовательных программ профессионального образования на соответствие требованиям профессиональных стандартов и рынка труда.</w:t>
      </w:r>
    </w:p>
    <w:p w:rsidR="00126520" w:rsidRPr="00146329" w:rsidRDefault="00CF6583" w:rsidP="00126520">
      <w:pPr>
        <w:pStyle w:val="Default"/>
        <w:jc w:val="both"/>
        <w:rPr>
          <w:rFonts w:ascii="Times New Roman" w:hAnsi="Times New Roman" w:cs="Times New Roman"/>
          <w:bCs/>
          <w:i/>
          <w:caps/>
          <w:color w:val="FF0000"/>
          <w:sz w:val="20"/>
          <w:szCs w:val="20"/>
          <w:lang w:eastAsia="ru-RU"/>
        </w:rPr>
      </w:pPr>
      <w:r w:rsidRPr="00146329">
        <w:rPr>
          <w:rFonts w:ascii="Times New Roman" w:hAnsi="Times New Roman"/>
          <w:b/>
          <w:bCs/>
          <w:i/>
          <w:caps/>
          <w:color w:val="D14141"/>
          <w:sz w:val="20"/>
          <w:szCs w:val="20"/>
          <w:lang w:eastAsia="ru-RU"/>
        </w:rPr>
        <w:t xml:space="preserve">** </w:t>
      </w:r>
      <w:r w:rsidRPr="00146329">
        <w:rPr>
          <w:rFonts w:ascii="Times New Roman" w:hAnsi="Times New Roman"/>
          <w:i/>
          <w:color w:val="FF0000"/>
          <w:sz w:val="20"/>
          <w:szCs w:val="20"/>
          <w:shd w:val="clear" w:color="auto" w:fill="FFFFFF"/>
        </w:rPr>
        <w:t xml:space="preserve">Действующие нормативные правовые акты обеспечивают вариативный подход к установлению видов выпускных квалификационных работ, требований к ним и порядка их выполнения, включая порядок определения тем выпускных квалификационных работ. В рамках указанной вариативности возможно выполнение и защита студентом (несколькими студентами совместно) выпускной квалификационной работы, представляющей собой создание </w:t>
      </w:r>
      <w:r w:rsidR="00126520" w:rsidRPr="00146329">
        <w:rPr>
          <w:rFonts w:ascii="Times New Roman" w:hAnsi="Times New Roman"/>
          <w:i/>
          <w:color w:val="FF0000"/>
          <w:sz w:val="20"/>
          <w:szCs w:val="20"/>
          <w:shd w:val="clear" w:color="auto" w:fill="FFFFFF"/>
        </w:rPr>
        <w:t xml:space="preserve">бизнес проекта – стартапа </w:t>
      </w:r>
      <w:r w:rsidR="00126520" w:rsidRPr="0014632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по разработке </w:t>
      </w:r>
      <w:r w:rsidR="00126520" w:rsidRPr="00146329"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  <w:t>результатов аналитической и научно-исследовательской деятельности, позволяющий оценить уровень подготовки выпускника и освоению профессиональных компетенций в соответствии с профессиональными стандартами.</w:t>
      </w:r>
      <w:r w:rsidR="00126520" w:rsidRPr="0014632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:rsidR="00D72809" w:rsidRPr="00126520" w:rsidRDefault="00D72809">
      <w:pPr>
        <w:spacing w:after="0" w:line="240" w:lineRule="auto"/>
        <w:jc w:val="both"/>
        <w:outlineLvl w:val="2"/>
        <w:rPr>
          <w:sz w:val="20"/>
          <w:szCs w:val="20"/>
        </w:rPr>
      </w:pPr>
    </w:p>
    <w:sectPr w:rsidR="00D72809" w:rsidRPr="00126520">
      <w:headerReference w:type="default" r:id="rId14"/>
      <w:pgSz w:w="11906" w:h="16838"/>
      <w:pgMar w:top="765" w:right="707" w:bottom="568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7A" w:rsidRDefault="00D75C7A">
      <w:pPr>
        <w:spacing w:after="0" w:line="240" w:lineRule="auto"/>
      </w:pPr>
      <w:r>
        <w:separator/>
      </w:r>
    </w:p>
  </w:endnote>
  <w:endnote w:type="continuationSeparator" w:id="0">
    <w:p w:rsidR="00D75C7A" w:rsidRDefault="00D7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_sansregular"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Myriad Pro"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7A" w:rsidRDefault="00D75C7A">
      <w:pPr>
        <w:spacing w:after="0" w:line="240" w:lineRule="auto"/>
      </w:pPr>
      <w:r>
        <w:separator/>
      </w:r>
    </w:p>
  </w:footnote>
  <w:footnote w:type="continuationSeparator" w:id="0">
    <w:p w:rsidR="00D75C7A" w:rsidRDefault="00D7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09" w:rsidRDefault="00D7280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09"/>
    <w:rsid w:val="00126520"/>
    <w:rsid w:val="00146329"/>
    <w:rsid w:val="002E13EC"/>
    <w:rsid w:val="0083516A"/>
    <w:rsid w:val="00CF6583"/>
    <w:rsid w:val="00D609E7"/>
    <w:rsid w:val="00D72809"/>
    <w:rsid w:val="00D7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917E"/>
  <w15:docId w15:val="{6F680AA1-8AD4-4972-911D-7AD5540F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6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9270DD"/>
    <w:rPr>
      <w:rFonts w:cs="Times New Roman"/>
      <w:color w:val="0563C1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CE691F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locked/>
    <w:rsid w:val="009814D6"/>
    <w:rPr>
      <w:rFonts w:cs="Times New Roman"/>
    </w:rPr>
  </w:style>
  <w:style w:type="character" w:customStyle="1" w:styleId="a5">
    <w:name w:val="Нижний колонтитул Знак"/>
    <w:basedOn w:val="a0"/>
    <w:uiPriority w:val="99"/>
    <w:qFormat/>
    <w:locked/>
    <w:rsid w:val="009814D6"/>
    <w:rPr>
      <w:rFonts w:cs="Times New Roman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ascii="Times New Roman" w:hAnsi="Times New Roman"/>
      <w:strike w:val="0"/>
      <w:dstrike w:val="0"/>
      <w:sz w:val="20"/>
    </w:rPr>
  </w:style>
  <w:style w:type="character" w:customStyle="1" w:styleId="ListLabel56">
    <w:name w:val="ListLabel 56"/>
    <w:qFormat/>
    <w:rPr>
      <w:strike w:val="0"/>
      <w:dstrike w:val="0"/>
      <w:sz w:val="20"/>
    </w:rPr>
  </w:style>
  <w:style w:type="character" w:customStyle="1" w:styleId="ListLabel57">
    <w:name w:val="ListLabel 57"/>
    <w:qFormat/>
    <w:rPr>
      <w:strike w:val="0"/>
      <w:dstrike w:val="0"/>
      <w:sz w:val="20"/>
    </w:rPr>
  </w:style>
  <w:style w:type="character" w:customStyle="1" w:styleId="ListLabel58">
    <w:name w:val="ListLabel 58"/>
    <w:qFormat/>
    <w:rPr>
      <w:strike w:val="0"/>
      <w:dstrike w:val="0"/>
      <w:sz w:val="20"/>
    </w:rPr>
  </w:style>
  <w:style w:type="character" w:customStyle="1" w:styleId="ListLabel59">
    <w:name w:val="ListLabel 59"/>
    <w:qFormat/>
    <w:rPr>
      <w:strike w:val="0"/>
      <w:dstrike w:val="0"/>
      <w:sz w:val="20"/>
    </w:rPr>
  </w:style>
  <w:style w:type="character" w:customStyle="1" w:styleId="ListLabel60">
    <w:name w:val="ListLabel 60"/>
    <w:qFormat/>
    <w:rPr>
      <w:strike w:val="0"/>
      <w:dstrike w:val="0"/>
      <w:sz w:val="20"/>
    </w:rPr>
  </w:style>
  <w:style w:type="character" w:customStyle="1" w:styleId="ListLabel61">
    <w:name w:val="ListLabel 61"/>
    <w:qFormat/>
    <w:rPr>
      <w:strike w:val="0"/>
      <w:dstrike w:val="0"/>
      <w:sz w:val="20"/>
    </w:rPr>
  </w:style>
  <w:style w:type="character" w:customStyle="1" w:styleId="ListLabel62">
    <w:name w:val="ListLabel 62"/>
    <w:qFormat/>
    <w:rPr>
      <w:strike w:val="0"/>
      <w:dstrike w:val="0"/>
      <w:sz w:val="20"/>
    </w:rPr>
  </w:style>
  <w:style w:type="character" w:customStyle="1" w:styleId="ListLabel63">
    <w:name w:val="ListLabel 63"/>
    <w:qFormat/>
    <w:rPr>
      <w:strike w:val="0"/>
      <w:dstrike w:val="0"/>
      <w:sz w:val="20"/>
    </w:rPr>
  </w:style>
  <w:style w:type="character" w:customStyle="1" w:styleId="ListLabel64">
    <w:name w:val="ListLabel 64"/>
    <w:qFormat/>
    <w:rPr>
      <w:rFonts w:ascii="open_sansregular" w:hAnsi="open_sansregular" w:cs="Times New Roman"/>
      <w:strike w:val="0"/>
      <w:dstrike w:val="0"/>
      <w:sz w:val="20"/>
    </w:rPr>
  </w:style>
  <w:style w:type="character" w:customStyle="1" w:styleId="ListLabel65">
    <w:name w:val="ListLabel 65"/>
    <w:qFormat/>
    <w:rPr>
      <w:rFonts w:cs="Times New Roman"/>
      <w:strike w:val="0"/>
      <w:dstrike w:val="0"/>
    </w:rPr>
  </w:style>
  <w:style w:type="character" w:customStyle="1" w:styleId="ListLabel66">
    <w:name w:val="ListLabel 66"/>
    <w:qFormat/>
    <w:rPr>
      <w:rFonts w:cs="Times New Roman"/>
      <w:strike w:val="0"/>
      <w:dstrike w:val="0"/>
    </w:rPr>
  </w:style>
  <w:style w:type="character" w:customStyle="1" w:styleId="ListLabel67">
    <w:name w:val="ListLabel 67"/>
    <w:qFormat/>
    <w:rPr>
      <w:rFonts w:cs="Times New Roman"/>
      <w:strike w:val="0"/>
      <w:dstrike w:val="0"/>
    </w:rPr>
  </w:style>
  <w:style w:type="character" w:customStyle="1" w:styleId="ListLabel68">
    <w:name w:val="ListLabel 68"/>
    <w:qFormat/>
    <w:rPr>
      <w:rFonts w:cs="Times New Roman"/>
      <w:strike w:val="0"/>
      <w:dstrike w:val="0"/>
    </w:rPr>
  </w:style>
  <w:style w:type="character" w:customStyle="1" w:styleId="ListLabel69">
    <w:name w:val="ListLabel 69"/>
    <w:qFormat/>
    <w:rPr>
      <w:rFonts w:cs="Times New Roman"/>
      <w:strike w:val="0"/>
      <w:dstrike w:val="0"/>
    </w:rPr>
  </w:style>
  <w:style w:type="character" w:customStyle="1" w:styleId="ListLabel70">
    <w:name w:val="ListLabel 70"/>
    <w:qFormat/>
    <w:rPr>
      <w:rFonts w:cs="Times New Roman"/>
      <w:strike w:val="0"/>
      <w:dstrike w:val="0"/>
    </w:rPr>
  </w:style>
  <w:style w:type="character" w:customStyle="1" w:styleId="ListLabel71">
    <w:name w:val="ListLabel 71"/>
    <w:qFormat/>
    <w:rPr>
      <w:rFonts w:cs="Times New Roman"/>
      <w:strike w:val="0"/>
      <w:dstrike w:val="0"/>
    </w:rPr>
  </w:style>
  <w:style w:type="character" w:customStyle="1" w:styleId="ListLabel72">
    <w:name w:val="ListLabel 72"/>
    <w:qFormat/>
    <w:rPr>
      <w:rFonts w:cs="Times New Roman"/>
      <w:strike w:val="0"/>
      <w:dstrike w:val="0"/>
    </w:rPr>
  </w:style>
  <w:style w:type="character" w:customStyle="1" w:styleId="ListLabel73">
    <w:name w:val="ListLabel 73"/>
    <w:qFormat/>
    <w:rPr>
      <w:rFonts w:ascii="Times New Roman" w:hAnsi="Times New Roman"/>
      <w:b/>
      <w:color w:val="3366FF"/>
      <w:kern w:val="2"/>
      <w:sz w:val="32"/>
      <w:szCs w:val="32"/>
    </w:rPr>
  </w:style>
  <w:style w:type="character" w:customStyle="1" w:styleId="ListLabel74">
    <w:name w:val="ListLabel 74"/>
    <w:qFormat/>
    <w:rPr>
      <w:rFonts w:ascii="Times New Roman" w:hAnsi="Times New Roman"/>
      <w:color w:val="0563C1"/>
      <w:sz w:val="32"/>
      <w:szCs w:val="32"/>
      <w:lang w:val="en-US"/>
    </w:rPr>
  </w:style>
  <w:style w:type="character" w:customStyle="1" w:styleId="ListLabel75">
    <w:name w:val="ListLabel 75"/>
    <w:qFormat/>
    <w:rPr>
      <w:rFonts w:ascii="Times New Roman" w:hAnsi="Times New Roman"/>
      <w:color w:val="0563C1"/>
      <w:sz w:val="32"/>
      <w:szCs w:val="32"/>
    </w:rPr>
  </w:style>
  <w:style w:type="character" w:customStyle="1" w:styleId="ListLabel76">
    <w:name w:val="ListLabel 76"/>
    <w:qFormat/>
    <w:rPr>
      <w:rFonts w:cs="Symbol"/>
      <w:strike w:val="0"/>
      <w:dstrike w:val="0"/>
      <w:sz w:val="20"/>
    </w:rPr>
  </w:style>
  <w:style w:type="character" w:customStyle="1" w:styleId="ListLabel77">
    <w:name w:val="ListLabel 77"/>
    <w:qFormat/>
    <w:rPr>
      <w:rFonts w:cs="Courier New"/>
      <w:strike w:val="0"/>
      <w:dstrike w:val="0"/>
      <w:sz w:val="20"/>
    </w:rPr>
  </w:style>
  <w:style w:type="character" w:customStyle="1" w:styleId="ListLabel78">
    <w:name w:val="ListLabel 78"/>
    <w:qFormat/>
    <w:rPr>
      <w:rFonts w:cs="Wingdings"/>
      <w:strike w:val="0"/>
      <w:dstrike w:val="0"/>
      <w:sz w:val="20"/>
    </w:rPr>
  </w:style>
  <w:style w:type="character" w:customStyle="1" w:styleId="ListLabel79">
    <w:name w:val="ListLabel 79"/>
    <w:qFormat/>
    <w:rPr>
      <w:rFonts w:cs="Wingdings"/>
      <w:strike w:val="0"/>
      <w:dstrike w:val="0"/>
      <w:sz w:val="20"/>
    </w:rPr>
  </w:style>
  <w:style w:type="character" w:customStyle="1" w:styleId="ListLabel80">
    <w:name w:val="ListLabel 80"/>
    <w:qFormat/>
    <w:rPr>
      <w:rFonts w:cs="Wingdings"/>
      <w:strike w:val="0"/>
      <w:dstrike w:val="0"/>
      <w:sz w:val="20"/>
    </w:rPr>
  </w:style>
  <w:style w:type="character" w:customStyle="1" w:styleId="ListLabel81">
    <w:name w:val="ListLabel 81"/>
    <w:qFormat/>
    <w:rPr>
      <w:rFonts w:cs="Wingdings"/>
      <w:strike w:val="0"/>
      <w:dstrike w:val="0"/>
      <w:sz w:val="20"/>
    </w:rPr>
  </w:style>
  <w:style w:type="character" w:customStyle="1" w:styleId="ListLabel82">
    <w:name w:val="ListLabel 82"/>
    <w:qFormat/>
    <w:rPr>
      <w:rFonts w:cs="Wingdings"/>
      <w:strike w:val="0"/>
      <w:dstrike w:val="0"/>
      <w:sz w:val="20"/>
    </w:rPr>
  </w:style>
  <w:style w:type="character" w:customStyle="1" w:styleId="ListLabel83">
    <w:name w:val="ListLabel 83"/>
    <w:qFormat/>
    <w:rPr>
      <w:rFonts w:cs="Wingdings"/>
      <w:strike w:val="0"/>
      <w:dstrike w:val="0"/>
      <w:sz w:val="20"/>
    </w:rPr>
  </w:style>
  <w:style w:type="character" w:customStyle="1" w:styleId="ListLabel84">
    <w:name w:val="ListLabel 84"/>
    <w:qFormat/>
    <w:rPr>
      <w:rFonts w:cs="Wingdings"/>
      <w:strike w:val="0"/>
      <w:dstrike w:val="0"/>
      <w:sz w:val="20"/>
    </w:rPr>
  </w:style>
  <w:style w:type="character" w:customStyle="1" w:styleId="ListLabel85">
    <w:name w:val="ListLabel 85"/>
    <w:qFormat/>
    <w:rPr>
      <w:rFonts w:cs="Times New Roman"/>
      <w:strike w:val="0"/>
      <w:dstrike w:val="0"/>
      <w:sz w:val="20"/>
    </w:rPr>
  </w:style>
  <w:style w:type="character" w:customStyle="1" w:styleId="ListLabel86">
    <w:name w:val="ListLabel 86"/>
    <w:qFormat/>
    <w:rPr>
      <w:rFonts w:cs="Times New Roman"/>
      <w:strike w:val="0"/>
      <w:dstrike w:val="0"/>
    </w:rPr>
  </w:style>
  <w:style w:type="character" w:customStyle="1" w:styleId="ListLabel87">
    <w:name w:val="ListLabel 87"/>
    <w:qFormat/>
    <w:rPr>
      <w:rFonts w:cs="Times New Roman"/>
      <w:strike w:val="0"/>
      <w:dstrike w:val="0"/>
    </w:rPr>
  </w:style>
  <w:style w:type="character" w:customStyle="1" w:styleId="ListLabel88">
    <w:name w:val="ListLabel 88"/>
    <w:qFormat/>
    <w:rPr>
      <w:rFonts w:cs="Times New Roman"/>
      <w:strike w:val="0"/>
      <w:dstrike w:val="0"/>
    </w:rPr>
  </w:style>
  <w:style w:type="character" w:customStyle="1" w:styleId="ListLabel89">
    <w:name w:val="ListLabel 89"/>
    <w:qFormat/>
    <w:rPr>
      <w:rFonts w:cs="Times New Roman"/>
      <w:strike w:val="0"/>
      <w:dstrike w:val="0"/>
    </w:rPr>
  </w:style>
  <w:style w:type="character" w:customStyle="1" w:styleId="ListLabel90">
    <w:name w:val="ListLabel 90"/>
    <w:qFormat/>
    <w:rPr>
      <w:rFonts w:cs="Times New Roman"/>
      <w:strike w:val="0"/>
      <w:dstrike w:val="0"/>
    </w:rPr>
  </w:style>
  <w:style w:type="character" w:customStyle="1" w:styleId="ListLabel91">
    <w:name w:val="ListLabel 91"/>
    <w:qFormat/>
    <w:rPr>
      <w:rFonts w:cs="Times New Roman"/>
      <w:strike w:val="0"/>
      <w:dstrike w:val="0"/>
    </w:rPr>
  </w:style>
  <w:style w:type="character" w:customStyle="1" w:styleId="ListLabel92">
    <w:name w:val="ListLabel 92"/>
    <w:qFormat/>
    <w:rPr>
      <w:rFonts w:cs="Times New Roman"/>
      <w:strike w:val="0"/>
      <w:dstrike w:val="0"/>
    </w:rPr>
  </w:style>
  <w:style w:type="character" w:customStyle="1" w:styleId="ListLabel93">
    <w:name w:val="ListLabel 93"/>
    <w:qFormat/>
    <w:rPr>
      <w:rFonts w:cs="Times New Roman"/>
      <w:strike w:val="0"/>
      <w:dstrike w:val="0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Noto Sans Devanagari"/>
    </w:rPr>
  </w:style>
  <w:style w:type="paragraph" w:styleId="ab">
    <w:name w:val="Balloon Text"/>
    <w:basedOn w:val="a"/>
    <w:uiPriority w:val="99"/>
    <w:semiHidden/>
    <w:qFormat/>
    <w:rsid w:val="00CE69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header"/>
    <w:basedOn w:val="a"/>
    <w:uiPriority w:val="99"/>
    <w:rsid w:val="009814D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rsid w:val="009814D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99"/>
    <w:qFormat/>
    <w:rsid w:val="009814D6"/>
    <w:pPr>
      <w:ind w:left="720"/>
      <w:contextualSpacing/>
    </w:pPr>
  </w:style>
  <w:style w:type="paragraph" w:customStyle="1" w:styleId="Default">
    <w:name w:val="Default"/>
    <w:uiPriority w:val="99"/>
    <w:qFormat/>
    <w:rsid w:val="00C25410"/>
    <w:rPr>
      <w:rFonts w:ascii="Myriad Pro" w:hAnsi="Myriad Pro" w:cs="Myriad Pro"/>
      <w:color w:val="000000"/>
      <w:sz w:val="24"/>
      <w:szCs w:val="24"/>
      <w:lang w:eastAsia="zh-CN"/>
    </w:rPr>
  </w:style>
  <w:style w:type="paragraph" w:styleId="af">
    <w:name w:val="Normal (Web)"/>
    <w:basedOn w:val="a"/>
    <w:uiPriority w:val="99"/>
    <w:qFormat/>
    <w:rsid w:val="001B3FC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af0">
    <w:name w:val="Table Grid"/>
    <w:basedOn w:val="a1"/>
    <w:uiPriority w:val="99"/>
    <w:rsid w:val="00A552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D215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u.usue.ru/sotrudniki/231-molokova-elena-leonidovna-dotsent" TargetMode="External"/><Relationship Id="rId13" Type="http://schemas.openxmlformats.org/officeDocument/2006/relationships/hyperlink" Target="mailto:yuzvovich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yuzvovich@b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uzvovich@bk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uzvovich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zvovich@b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7074-708F-4B4D-9B27-0C441425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ВИЗИТКА</vt:lpstr>
    </vt:vector>
  </TitlesOfParts>
  <Company>УрГЭУ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ВИЗИТКА</dc:title>
  <dc:subject/>
  <dc:creator>Морозова Александра Сергеевна</dc:creator>
  <dc:description/>
  <cp:lastModifiedBy>Юзвович Лариса Ивановна</cp:lastModifiedBy>
  <cp:revision>2</cp:revision>
  <cp:lastPrinted>2021-09-06T09:59:00Z</cp:lastPrinted>
  <dcterms:created xsi:type="dcterms:W3CDTF">2026-03-30T09:26:00Z</dcterms:created>
  <dcterms:modified xsi:type="dcterms:W3CDTF">2026-03-30T09:26:00Z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УрГЭУ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